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6" w:name="_GoBack"/>
      <w:bookmarkEnd w:id="6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（2024）鄂监刑减字第88号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罪犯</w:t>
      </w:r>
      <w:r>
        <w:rPr>
          <w:rFonts w:hint="eastAsia" w:eastAsia="仿宋_GB2312"/>
          <w:sz w:val="32"/>
          <w:szCs w:val="32"/>
        </w:rPr>
        <w:t>陈国胜</w:t>
      </w:r>
      <w:r>
        <w:rPr>
          <w:rFonts w:eastAsia="仿宋_GB2312"/>
          <w:sz w:val="32"/>
          <w:szCs w:val="32"/>
        </w:rPr>
        <w:t>，男，</w:t>
      </w:r>
      <w:r>
        <w:rPr>
          <w:rFonts w:hint="eastAsia" w:eastAsia="仿宋_GB2312"/>
          <w:sz w:val="32"/>
          <w:szCs w:val="32"/>
        </w:rPr>
        <w:t>1971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15</w:t>
      </w:r>
      <w:r>
        <w:rPr>
          <w:rFonts w:eastAsia="仿宋_GB2312"/>
          <w:sz w:val="32"/>
          <w:szCs w:val="32"/>
        </w:rPr>
        <w:t>日出生于</w:t>
      </w:r>
      <w:r>
        <w:rPr>
          <w:rFonts w:hint="eastAsia" w:eastAsia="仿宋_GB2312"/>
          <w:sz w:val="32"/>
          <w:szCs w:val="32"/>
        </w:rPr>
        <w:t>湖北</w:t>
      </w:r>
      <w:r>
        <w:rPr>
          <w:rFonts w:eastAsia="仿宋_GB2312"/>
          <w:sz w:val="32"/>
          <w:szCs w:val="32"/>
        </w:rPr>
        <w:t>省</w:t>
      </w:r>
      <w:r>
        <w:rPr>
          <w:rFonts w:hint="eastAsia" w:eastAsia="仿宋_GB2312"/>
          <w:sz w:val="32"/>
          <w:szCs w:val="32"/>
        </w:rPr>
        <w:t>麻城</w:t>
      </w:r>
      <w:r>
        <w:rPr>
          <w:rFonts w:eastAsia="仿宋_GB2312"/>
          <w:sz w:val="32"/>
          <w:szCs w:val="32"/>
        </w:rPr>
        <w:t>市，汉族，</w:t>
      </w:r>
      <w:r>
        <w:rPr>
          <w:rFonts w:hint="eastAsia" w:eastAsia="仿宋_GB2312"/>
          <w:sz w:val="32"/>
          <w:szCs w:val="32"/>
        </w:rPr>
        <w:t>初中</w:t>
      </w:r>
      <w:r>
        <w:rPr>
          <w:rFonts w:eastAsia="仿宋_GB2312"/>
          <w:sz w:val="32"/>
          <w:szCs w:val="32"/>
        </w:rPr>
        <w:t>文化程度，无职业。</w:t>
      </w:r>
      <w:r>
        <w:rPr>
          <w:rFonts w:hint="eastAsia" w:eastAsia="仿宋_GB2312"/>
          <w:sz w:val="32"/>
          <w:szCs w:val="32"/>
        </w:rPr>
        <w:t>现在湖北省武昌</w:t>
      </w:r>
      <w:r>
        <w:rPr>
          <w:rFonts w:eastAsia="仿宋_GB2312"/>
          <w:sz w:val="32"/>
          <w:szCs w:val="32"/>
        </w:rPr>
        <w:t>监狱服刑。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湖北省武汉市中级人民</w:t>
      </w:r>
      <w:r>
        <w:rPr>
          <w:rFonts w:eastAsia="仿宋_GB2312"/>
          <w:sz w:val="32"/>
          <w:szCs w:val="32"/>
        </w:rPr>
        <w:t>法院于</w:t>
      </w:r>
      <w:r>
        <w:rPr>
          <w:rFonts w:hint="eastAsia" w:eastAsia="仿宋_GB2312"/>
          <w:sz w:val="32"/>
          <w:szCs w:val="32"/>
        </w:rPr>
        <w:t>2014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30</w:t>
      </w:r>
      <w:r>
        <w:rPr>
          <w:rFonts w:eastAsia="仿宋_GB2312"/>
          <w:sz w:val="32"/>
          <w:szCs w:val="32"/>
        </w:rPr>
        <w:t>日作出（201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鄂武汉中刑重字第00008</w:t>
      </w:r>
      <w:r>
        <w:rPr>
          <w:rFonts w:eastAsia="仿宋_GB2312"/>
          <w:sz w:val="32"/>
          <w:szCs w:val="32"/>
        </w:rPr>
        <w:t>号刑事</w:t>
      </w:r>
      <w:r>
        <w:rPr>
          <w:rFonts w:hint="eastAsia" w:eastAsia="仿宋_GB2312"/>
          <w:sz w:val="32"/>
          <w:szCs w:val="32"/>
        </w:rPr>
        <w:t>判决</w:t>
      </w:r>
      <w:r>
        <w:rPr>
          <w:rFonts w:eastAsia="仿宋_GB2312"/>
          <w:sz w:val="32"/>
          <w:szCs w:val="32"/>
        </w:rPr>
        <w:t>：被告人</w:t>
      </w:r>
      <w:r>
        <w:rPr>
          <w:rFonts w:hint="eastAsia" w:eastAsia="仿宋_GB2312"/>
          <w:sz w:val="32"/>
          <w:szCs w:val="32"/>
        </w:rPr>
        <w:t>陈国胜</w:t>
      </w:r>
      <w:r>
        <w:rPr>
          <w:rFonts w:eastAsia="仿宋_GB2312"/>
          <w:sz w:val="32"/>
          <w:szCs w:val="32"/>
        </w:rPr>
        <w:t>犯</w:t>
      </w:r>
      <w:r>
        <w:rPr>
          <w:rFonts w:hint="eastAsia" w:eastAsia="仿宋_GB2312"/>
          <w:sz w:val="32"/>
          <w:szCs w:val="32"/>
        </w:rPr>
        <w:t>绑架</w:t>
      </w:r>
      <w:r>
        <w:rPr>
          <w:rFonts w:eastAsia="仿宋_GB2312"/>
          <w:sz w:val="32"/>
          <w:szCs w:val="32"/>
        </w:rPr>
        <w:t>罪，判处死刑，缓期二年执行，剥夺政治权利终身</w:t>
      </w:r>
      <w:r>
        <w:rPr>
          <w:rFonts w:hint="eastAsia" w:eastAsia="仿宋_GB2312"/>
          <w:sz w:val="32"/>
          <w:szCs w:val="32"/>
        </w:rPr>
        <w:t>并处没收个人全部财产</w:t>
      </w:r>
      <w:r>
        <w:rPr>
          <w:rFonts w:eastAsia="仿宋_GB2312"/>
          <w:sz w:val="32"/>
          <w:szCs w:val="32"/>
        </w:rPr>
        <w:t>。宣判后，被告人</w:t>
      </w:r>
      <w:r>
        <w:rPr>
          <w:rFonts w:hint="eastAsia" w:eastAsia="仿宋_GB2312"/>
          <w:sz w:val="32"/>
          <w:szCs w:val="32"/>
        </w:rPr>
        <w:t>陈国胜及同案被告人均</w:t>
      </w:r>
      <w:r>
        <w:rPr>
          <w:rFonts w:eastAsia="仿宋_GB2312"/>
          <w:sz w:val="32"/>
          <w:szCs w:val="32"/>
        </w:rPr>
        <w:t>不服，</w:t>
      </w:r>
      <w:r>
        <w:rPr>
          <w:rFonts w:hint="eastAsia" w:eastAsia="仿宋_GB2312"/>
          <w:sz w:val="32"/>
          <w:szCs w:val="32"/>
        </w:rPr>
        <w:t>分别</w:t>
      </w:r>
      <w:r>
        <w:rPr>
          <w:rFonts w:eastAsia="仿宋_GB2312"/>
          <w:sz w:val="32"/>
          <w:szCs w:val="32"/>
        </w:rPr>
        <w:t>提出上诉。</w:t>
      </w:r>
      <w:r>
        <w:rPr>
          <w:rFonts w:hint="eastAsia" w:eastAsia="仿宋_GB2312"/>
          <w:sz w:val="32"/>
          <w:szCs w:val="32"/>
        </w:rPr>
        <w:t>湖北省高级人民</w:t>
      </w:r>
      <w:r>
        <w:rPr>
          <w:rFonts w:eastAsia="仿宋_GB2312"/>
          <w:sz w:val="32"/>
          <w:szCs w:val="32"/>
        </w:rPr>
        <w:t>法院于</w:t>
      </w:r>
      <w:r>
        <w:rPr>
          <w:rFonts w:hint="eastAsia" w:eastAsia="仿宋_GB2312"/>
          <w:sz w:val="32"/>
          <w:szCs w:val="32"/>
        </w:rPr>
        <w:t>2014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19</w:t>
      </w:r>
      <w:r>
        <w:rPr>
          <w:rFonts w:eastAsia="仿宋_GB2312"/>
          <w:sz w:val="32"/>
          <w:szCs w:val="32"/>
        </w:rPr>
        <w:t>日作出（201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鄂刑一终字第00072号</w:t>
      </w:r>
      <w:r>
        <w:rPr>
          <w:rFonts w:eastAsia="仿宋_GB2312"/>
          <w:sz w:val="32"/>
          <w:szCs w:val="32"/>
        </w:rPr>
        <w:t>刑事裁定：驳回上诉，维持原判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并依法核准原判。裁定发生法律效力后，于</w:t>
      </w:r>
      <w:r>
        <w:rPr>
          <w:rFonts w:hint="eastAsia" w:eastAsia="仿宋_GB2312"/>
          <w:sz w:val="32"/>
          <w:szCs w:val="32"/>
        </w:rPr>
        <w:t>2015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15</w:t>
      </w:r>
      <w:r>
        <w:rPr>
          <w:rFonts w:eastAsia="仿宋_GB2312"/>
          <w:sz w:val="32"/>
          <w:szCs w:val="32"/>
        </w:rPr>
        <w:t>日交付执行。刑罚执行期间，</w:t>
      </w:r>
      <w:r>
        <w:rPr>
          <w:rFonts w:hint="eastAsia" w:eastAsia="仿宋_GB2312"/>
          <w:sz w:val="32"/>
          <w:szCs w:val="32"/>
        </w:rPr>
        <w:t>湖北省高级</w:t>
      </w:r>
      <w:r>
        <w:rPr>
          <w:rFonts w:eastAsia="仿宋_GB2312"/>
          <w:sz w:val="32"/>
          <w:szCs w:val="32"/>
        </w:rPr>
        <w:t>人民法院于</w:t>
      </w:r>
      <w:r>
        <w:rPr>
          <w:rFonts w:hint="eastAsia" w:eastAsia="仿宋_GB2312"/>
          <w:sz w:val="32"/>
          <w:szCs w:val="32"/>
        </w:rPr>
        <w:t>2017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22</w:t>
      </w:r>
      <w:r>
        <w:rPr>
          <w:rFonts w:eastAsia="仿宋_GB2312"/>
          <w:sz w:val="32"/>
          <w:szCs w:val="32"/>
        </w:rPr>
        <w:t>日作出（201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鄂刑更213</w:t>
      </w:r>
      <w:r>
        <w:rPr>
          <w:rFonts w:eastAsia="仿宋_GB2312"/>
          <w:sz w:val="32"/>
          <w:szCs w:val="32"/>
        </w:rPr>
        <w:t>号刑事裁定，将</w:t>
      </w:r>
      <w:r>
        <w:rPr>
          <w:rFonts w:hint="eastAsia" w:eastAsia="仿宋_GB2312"/>
          <w:sz w:val="32"/>
          <w:szCs w:val="32"/>
        </w:rPr>
        <w:t>其</w:t>
      </w:r>
      <w:r>
        <w:rPr>
          <w:rFonts w:eastAsia="仿宋_GB2312"/>
          <w:sz w:val="32"/>
          <w:szCs w:val="32"/>
        </w:rPr>
        <w:t>刑罚减为无期徒刑，剥夺政治权利终身不变。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该犯</w:t>
      </w:r>
      <w:r>
        <w:rPr>
          <w:rFonts w:hint="eastAsia" w:eastAsia="仿宋_GB2312"/>
          <w:sz w:val="32"/>
          <w:szCs w:val="32"/>
        </w:rPr>
        <w:t>自2017年8月22日裁定减为无期徒刑</w:t>
      </w:r>
      <w:r>
        <w:rPr>
          <w:rFonts w:eastAsia="仿宋_GB2312"/>
          <w:sz w:val="32"/>
          <w:szCs w:val="32"/>
        </w:rPr>
        <w:t>以来，已</w:t>
      </w:r>
      <w:r>
        <w:rPr>
          <w:rFonts w:hint="eastAsia" w:eastAsia="仿宋_GB2312"/>
          <w:sz w:val="32"/>
          <w:szCs w:val="32"/>
        </w:rPr>
        <w:t>经</w:t>
      </w:r>
      <w:r>
        <w:rPr>
          <w:rFonts w:eastAsia="仿宋_GB2312"/>
          <w:sz w:val="32"/>
          <w:szCs w:val="32"/>
        </w:rPr>
        <w:t>过</w:t>
      </w:r>
      <w:r>
        <w:rPr>
          <w:rFonts w:hint="eastAsia" w:eastAsia="仿宋_GB2312"/>
          <w:sz w:val="32"/>
          <w:szCs w:val="32"/>
        </w:rPr>
        <w:t>三</w:t>
      </w:r>
      <w:r>
        <w:rPr>
          <w:rFonts w:eastAsia="仿宋_GB2312"/>
          <w:sz w:val="32"/>
          <w:szCs w:val="32"/>
        </w:rPr>
        <w:t>年。在此期间，确有悔改表现，累计获得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个表扬。具体事实如下：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该犯在刑罚执行期间，能够做到认罪悔罪，认真遵守法律法规及监规，接受教育改造；积极参加思想、文化、职业技术教育；积极参加劳动，完成生产任务。获得</w:t>
      </w:r>
      <w:r>
        <w:rPr>
          <w:rFonts w:hint="eastAsia" w:eastAsia="仿宋_GB2312"/>
          <w:sz w:val="32"/>
          <w:szCs w:val="32"/>
        </w:rPr>
        <w:t>2018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月表扬、</w:t>
      </w:r>
      <w:r>
        <w:rPr>
          <w:rFonts w:hint="eastAsia" w:eastAsia="仿宋_GB2312"/>
          <w:sz w:val="32"/>
          <w:szCs w:val="32"/>
        </w:rPr>
        <w:t>2019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月表扬</w:t>
      </w:r>
      <w:r>
        <w:rPr>
          <w:rFonts w:hint="eastAsia" w:eastAsia="仿宋_GB2312"/>
          <w:sz w:val="32"/>
          <w:szCs w:val="32"/>
        </w:rPr>
        <w:t>、2019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月表扬、</w:t>
      </w:r>
      <w:r>
        <w:rPr>
          <w:rFonts w:hint="eastAsia" w:eastAsia="仿宋_GB2312"/>
          <w:sz w:val="32"/>
          <w:szCs w:val="32"/>
        </w:rPr>
        <w:t>2020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月表扬、</w:t>
      </w:r>
      <w:r>
        <w:rPr>
          <w:rFonts w:hint="eastAsia" w:eastAsia="仿宋_GB2312"/>
          <w:sz w:val="32"/>
          <w:szCs w:val="32"/>
        </w:rPr>
        <w:t>2020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月表扬、</w:t>
      </w:r>
      <w:r>
        <w:rPr>
          <w:rFonts w:hint="eastAsia" w:eastAsia="仿宋_GB2312"/>
          <w:sz w:val="32"/>
          <w:szCs w:val="32"/>
        </w:rPr>
        <w:t>2021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月表扬、</w:t>
      </w:r>
      <w:r>
        <w:rPr>
          <w:rFonts w:hint="eastAsia" w:eastAsia="仿宋_GB2312"/>
          <w:sz w:val="32"/>
          <w:szCs w:val="32"/>
        </w:rPr>
        <w:t>2021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月表扬、</w:t>
      </w:r>
      <w:r>
        <w:rPr>
          <w:rFonts w:hint="eastAsia" w:eastAsia="仿宋_GB2312"/>
          <w:sz w:val="32"/>
          <w:szCs w:val="32"/>
        </w:rPr>
        <w:t>2022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月表扬，共计获得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个表扬。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/>
        </w:rPr>
        <w:pict>
          <v:shape id="_x0000_s1027" o:spid="_x0000_s1027" o:spt="201" type="#_x0000_t201" style="position:absolute;left:0pt;margin-left:352.85pt;margin-top:610.2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eastAsia="仿宋_GB2312"/>
          <w:sz w:val="32"/>
          <w:szCs w:val="32"/>
        </w:rPr>
        <w:t>认定上述事实的依据有：</w:t>
      </w:r>
      <w:r>
        <w:rPr>
          <w:rFonts w:hint="eastAsia" w:eastAsia="仿宋_GB2312"/>
          <w:sz w:val="32"/>
          <w:szCs w:val="32"/>
        </w:rPr>
        <w:t>减刑裁定书、罪犯计分考核明细表、</w:t>
      </w:r>
      <w:r>
        <w:rPr>
          <w:rFonts w:eastAsia="仿宋_GB2312"/>
          <w:sz w:val="32"/>
          <w:szCs w:val="32"/>
        </w:rPr>
        <w:t>罪犯奖励审批表、罪犯评审鉴定表、</w:t>
      </w:r>
      <w:r>
        <w:rPr>
          <w:rFonts w:hint="eastAsia" w:eastAsia="仿宋_GB2312"/>
          <w:sz w:val="32"/>
          <w:szCs w:val="32"/>
        </w:rPr>
        <w:t>罪犯确有悔改表现的书面证明材料、</w:t>
      </w:r>
      <w:r>
        <w:rPr>
          <w:rFonts w:eastAsia="仿宋_GB2312"/>
          <w:sz w:val="32"/>
          <w:szCs w:val="32"/>
        </w:rPr>
        <w:t>监区对该犯呈报减刑的讨论记录、监狱评审委员会和监狱长办公会对该犯减刑的意见。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</w:t>
      </w:r>
      <w:r>
        <w:rPr>
          <w:rFonts w:hint="eastAsia" w:eastAsia="仿宋_GB2312"/>
          <w:sz w:val="32"/>
          <w:szCs w:val="32"/>
        </w:rPr>
        <w:t>该犯自减为无期徒刑以来，刑期已执行三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以上</w:t>
      </w:r>
      <w:r>
        <w:rPr>
          <w:rFonts w:eastAsia="仿宋_GB2312"/>
          <w:sz w:val="32"/>
          <w:szCs w:val="32"/>
        </w:rPr>
        <w:t>，符合减刑条件。</w:t>
      </w:r>
    </w:p>
    <w:p>
      <w:pPr>
        <w:spacing w:before="0" w:after="0" w:line="52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eastAsia="仿宋_GB2312"/>
          <w:sz w:val="32"/>
          <w:szCs w:val="32"/>
        </w:rPr>
        <w:t>为此，根据《中华人民共和国监狱法》第二十九条、《中华人民共和国刑法》第七十八条第一款、《中华人民共和国刑事诉讼法》第二百</w:t>
      </w:r>
      <w:r>
        <w:rPr>
          <w:rFonts w:hint="eastAsia" w:eastAsia="仿宋_GB2312"/>
          <w:sz w:val="32"/>
          <w:szCs w:val="32"/>
        </w:rPr>
        <w:t>七十三</w:t>
      </w:r>
      <w:r>
        <w:rPr>
          <w:rFonts w:eastAsia="仿宋_GB2312"/>
          <w:sz w:val="32"/>
          <w:szCs w:val="32"/>
        </w:rPr>
        <w:t>条第二款之规定，建议对罪犯</w:t>
      </w:r>
      <w:r>
        <w:rPr>
          <w:rFonts w:hint="eastAsia" w:eastAsia="仿宋_GB2312"/>
          <w:sz w:val="32"/>
          <w:szCs w:val="32"/>
        </w:rPr>
        <w:t>陈国胜</w:t>
      </w:r>
      <w:r>
        <w:rPr>
          <w:rFonts w:eastAsia="仿宋_GB2312"/>
          <w:sz w:val="32"/>
          <w:szCs w:val="32"/>
        </w:rPr>
        <w:t>予以报请减为有期徒刑</w:t>
      </w:r>
      <w:r>
        <w:rPr>
          <w:rFonts w:hint="eastAsia" w:eastAsia="仿宋_GB2312"/>
          <w:sz w:val="32"/>
          <w:szCs w:val="32"/>
        </w:rPr>
        <w:t>二十五</w:t>
      </w:r>
      <w:r>
        <w:rPr>
          <w:rFonts w:eastAsia="仿宋_GB2312"/>
          <w:sz w:val="32"/>
          <w:szCs w:val="32"/>
        </w:rPr>
        <w:t>年，剥夺政治权利</w:t>
      </w:r>
      <w:r>
        <w:rPr>
          <w:rFonts w:hint="eastAsia" w:eastAsia="仿宋_GB2312"/>
          <w:sz w:val="32"/>
          <w:szCs w:val="32"/>
        </w:rPr>
        <w:t>十</w:t>
      </w:r>
      <w:r>
        <w:rPr>
          <w:rFonts w:eastAsia="仿宋_GB2312"/>
          <w:sz w:val="32"/>
          <w:szCs w:val="32"/>
        </w:rPr>
        <w:t>年。特报请裁定。</w:t>
      </w:r>
      <w:r>
        <w:rPr>
          <w:rFonts w:hint="eastAsia" w:ascii="仿宋" w:hAnsi="仿宋" w:eastAsia="仿宋" w:cs="宋体"/>
          <w:sz w:val="32"/>
          <w:szCs w:val="32"/>
        </w:rPr>
        <w:t xml:space="preserve"> </w:t>
      </w:r>
    </w:p>
    <w:p>
      <w:pPr>
        <w:pStyle w:val="22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2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3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3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exac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exac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4" w:name="JYJGZ"/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5" w:name="JYGZ"/>
      <w:bookmarkEnd w:id="5"/>
    </w:p>
    <w:p>
      <w:pPr>
        <w:spacing w:line="52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exac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4CFAA8BA-33DD-4AA6-8121-03D8D5BEDB64}" w:val="FZEQHbtJwk/yO=VhRs7cY3BSjPDnfeN9W+r0qXlGd8CTIu6145LzMvxog2mAKpiUa"/>
    <w:docVar w:name="commondata" w:val="eyJoZGlkIjoiNWU4MjMzNTBiZjJmMzllMGNmZjk1NTllZTE4YTNjYjMifQ=="/>
    <w:docVar w:name="DocumentID" w:val="{88DCFCAD-8484-403B-A0E6-98CFB930DB77}"/>
  </w:docVars>
  <w:rsids>
    <w:rsidRoot w:val="00172A27"/>
    <w:rsid w:val="00094D0C"/>
    <w:rsid w:val="00324AF2"/>
    <w:rsid w:val="00372C94"/>
    <w:rsid w:val="003E70A5"/>
    <w:rsid w:val="003F5C18"/>
    <w:rsid w:val="006921BD"/>
    <w:rsid w:val="00720F62"/>
    <w:rsid w:val="009574B2"/>
    <w:rsid w:val="00965DDD"/>
    <w:rsid w:val="00D27481"/>
    <w:rsid w:val="00F05C24"/>
    <w:rsid w:val="7F0BD2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pageBreakBefore/>
      <w:numPr>
        <w:ilvl w:val="0"/>
        <w:numId w:val="1"/>
      </w:numPr>
      <w:spacing w:before="360" w:beforeLines="0" w:after="720" w:afterLines="0" w:line="600" w:lineRule="atLeast"/>
      <w:jc w:val="center"/>
      <w:outlineLvl w:val="0"/>
    </w:pPr>
    <w:rPr>
      <w:rFonts w:ascii="Times New Roman" w:hAnsi="Times New Roman" w:eastAsia="宋体" w:cs="Times New Roman"/>
      <w:b/>
      <w:kern w:val="44"/>
      <w:sz w:val="36"/>
      <w:szCs w:val="20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numPr>
        <w:ilvl w:val="1"/>
        <w:numId w:val="1"/>
      </w:numPr>
      <w:spacing w:before="240" w:beforeLines="0" w:after="120" w:afterLines="0" w:line="400" w:lineRule="atLeast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paragraph" w:styleId="4">
    <w:name w:val="heading 3"/>
    <w:basedOn w:val="1"/>
    <w:next w:val="1"/>
    <w:link w:val="15"/>
    <w:qFormat/>
    <w:uiPriority w:val="0"/>
    <w:pPr>
      <w:keepNext/>
      <w:keepLines/>
      <w:numPr>
        <w:ilvl w:val="2"/>
        <w:numId w:val="1"/>
      </w:numPr>
      <w:spacing w:before="240" w:beforeLines="0" w:after="120" w:afterLines="0" w:line="416" w:lineRule="atLeast"/>
      <w:outlineLvl w:val="2"/>
    </w:pPr>
    <w:rPr>
      <w:rFonts w:ascii="Times New Roman" w:hAnsi="Times New Roman" w:eastAsia="黑体" w:cs="Times New Roman"/>
      <w:b/>
      <w:kern w:val="0"/>
      <w:sz w:val="30"/>
      <w:szCs w:val="20"/>
    </w:rPr>
  </w:style>
  <w:style w:type="paragraph" w:styleId="5">
    <w:name w:val="heading 4"/>
    <w:basedOn w:val="1"/>
    <w:next w:val="1"/>
    <w:link w:val="16"/>
    <w:qFormat/>
    <w:uiPriority w:val="0"/>
    <w:pPr>
      <w:keepNext/>
      <w:keepLines/>
      <w:numPr>
        <w:ilvl w:val="3"/>
        <w:numId w:val="1"/>
      </w:numPr>
      <w:spacing w:before="240" w:beforeLines="0" w:after="120" w:afterLines="0"/>
      <w:outlineLvl w:val="3"/>
    </w:pPr>
    <w:rPr>
      <w:rFonts w:ascii="Times New Roman" w:hAnsi="Times New Roman" w:eastAsia="宋体" w:cs="Times New Roman"/>
      <w:b/>
      <w:kern w:val="0"/>
      <w:sz w:val="30"/>
      <w:szCs w:val="20"/>
    </w:rPr>
  </w:style>
  <w:style w:type="paragraph" w:styleId="6">
    <w:name w:val="heading 5"/>
    <w:basedOn w:val="1"/>
    <w:next w:val="1"/>
    <w:link w:val="17"/>
    <w:qFormat/>
    <w:uiPriority w:val="0"/>
    <w:pPr>
      <w:keepNext/>
      <w:keepLines/>
      <w:numPr>
        <w:ilvl w:val="4"/>
        <w:numId w:val="1"/>
      </w:numPr>
      <w:spacing w:before="280" w:beforeLines="0" w:after="290" w:afterLines="0" w:line="376" w:lineRule="atLeast"/>
      <w:outlineLvl w:val="4"/>
    </w:pPr>
    <w:rPr>
      <w:rFonts w:ascii="Times New Roman" w:hAnsi="Times New Roman" w:eastAsia="宋体" w:cs="Times New Roman"/>
      <w:b/>
      <w:kern w:val="0"/>
      <w:sz w:val="24"/>
      <w:szCs w:val="20"/>
    </w:rPr>
  </w:style>
  <w:style w:type="paragraph" w:styleId="7">
    <w:name w:val="heading 6"/>
    <w:basedOn w:val="1"/>
    <w:next w:val="1"/>
    <w:link w:val="18"/>
    <w:qFormat/>
    <w:uiPriority w:val="0"/>
    <w:pPr>
      <w:keepNext/>
      <w:keepLines/>
      <w:numPr>
        <w:ilvl w:val="5"/>
        <w:numId w:val="1"/>
      </w:numPr>
      <w:spacing w:before="240" w:beforeLines="0" w:after="64" w:afterLines="0" w:line="320" w:lineRule="atLeast"/>
      <w:outlineLvl w:val="5"/>
    </w:pPr>
    <w:rPr>
      <w:rFonts w:ascii="Times New Roman" w:hAnsi="Times New Roman" w:eastAsia="宋体" w:cs="Times New Roman"/>
      <w:b/>
      <w:kern w:val="0"/>
      <w:sz w:val="24"/>
      <w:szCs w:val="20"/>
    </w:rPr>
  </w:style>
  <w:style w:type="paragraph" w:styleId="8">
    <w:name w:val="heading 7"/>
    <w:basedOn w:val="1"/>
    <w:next w:val="1"/>
    <w:link w:val="19"/>
    <w:qFormat/>
    <w:uiPriority w:val="0"/>
    <w:pPr>
      <w:keepNext/>
      <w:keepLines/>
      <w:numPr>
        <w:ilvl w:val="6"/>
        <w:numId w:val="1"/>
      </w:numPr>
      <w:spacing w:before="120" w:beforeLines="0" w:after="120" w:afterLines="0"/>
      <w:outlineLvl w:val="6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default="1" w:styleId="12">
    <w:name w:val="Default Paragraph Font"/>
    <w:uiPriority w:val="0"/>
  </w:style>
  <w:style w:type="table" w:default="1" w:styleId="11">
    <w:name w:val="Normal Table"/>
    <w:semiHidden/>
    <w:unhideWhenUsed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0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/>
      <w:sz w:val="18"/>
      <w:szCs w:val="18"/>
    </w:rPr>
  </w:style>
  <w:style w:type="paragraph" w:styleId="10">
    <w:name w:val="header"/>
    <w:basedOn w:val="1"/>
    <w:link w:val="2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/>
      <w:sz w:val="18"/>
      <w:szCs w:val="18"/>
    </w:rPr>
  </w:style>
  <w:style w:type="character" w:customStyle="1" w:styleId="13">
    <w:name w:val="标题 1 Char"/>
    <w:link w:val="2"/>
    <w:uiPriority w:val="0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0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link w:val="4"/>
    <w:uiPriority w:val="0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link w:val="5"/>
    <w:uiPriority w:val="0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link w:val="6"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link w:val="7"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0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页脚 Char"/>
    <w:link w:val="9"/>
    <w:uiPriority w:val="0"/>
    <w:rPr>
      <w:rFonts w:ascii="Times New Roman" w:hAnsi="Times New Roman"/>
      <w:sz w:val="18"/>
      <w:szCs w:val="18"/>
    </w:rPr>
  </w:style>
  <w:style w:type="character" w:customStyle="1" w:styleId="21">
    <w:name w:val="页眉 Char"/>
    <w:link w:val="10"/>
    <w:uiPriority w:val="0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162</Words>
  <Characters>924</Characters>
  <Lines>7</Lines>
  <Paragraphs>2</Paragraphs>
  <TotalTime>0</TotalTime>
  <ScaleCrop>false</ScaleCrop>
  <LinksUpToDate>false</LinksUpToDate>
  <CharactersWithSpaces>1084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2024-04-25T12:32:53Z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A0CC6BB490F46CACF5DC2966E8A8F8EA</vt:lpwstr>
  </property>
</Properties>
</file>