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18" w:name="_GoBack"/>
      <w:bookmarkEnd w:id="18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（2023）鄂监刑减字第514号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钟宜波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1973年6月25日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于湖北省天门市，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文化，务工。</w:t>
      </w:r>
      <w:bookmarkStart w:id="9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现在湖北省荆州监狱服刑。</w:t>
      </w:r>
      <w:bookmarkEnd w:id="9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10" w:name="SPNR_"/>
      <w:r>
        <w:rPr>
          <w:rFonts w:hint="eastAsia" w:ascii="仿宋" w:hAnsi="仿宋" w:eastAsia="仿宋"/>
          <w:color w:val="000000"/>
          <w:sz w:val="32"/>
          <w:szCs w:val="36"/>
        </w:rPr>
        <w:t>湖北省宜昌市中级人民法院于</w:t>
      </w:r>
      <w:r>
        <w:rPr>
          <w:rFonts w:ascii="仿宋" w:hAnsi="仿宋" w:eastAsia="仿宋"/>
          <w:color w:val="000000"/>
          <w:sz w:val="32"/>
          <w:szCs w:val="36"/>
        </w:rPr>
        <w:t>2020年12月14日作出（2020）鄂05刑初40号刑事</w:t>
      </w:r>
      <w:r>
        <w:rPr>
          <w:rFonts w:hint="eastAsia" w:ascii="仿宋" w:hAnsi="仿宋" w:eastAsia="仿宋"/>
          <w:color w:val="000000"/>
          <w:sz w:val="32"/>
          <w:szCs w:val="36"/>
        </w:rPr>
        <w:t>附带民事</w:t>
      </w:r>
      <w:r>
        <w:rPr>
          <w:rFonts w:ascii="仿宋" w:hAnsi="仿宋" w:eastAsia="仿宋"/>
          <w:color w:val="000000"/>
          <w:sz w:val="32"/>
          <w:szCs w:val="36"/>
        </w:rPr>
        <w:t>判决：被告人钟宜波犯故意杀人罪，判处死刑，缓期</w:t>
      </w:r>
      <w:r>
        <w:rPr>
          <w:rFonts w:hint="eastAsia" w:ascii="仿宋" w:hAnsi="仿宋" w:eastAsia="仿宋"/>
          <w:color w:val="000000"/>
          <w:sz w:val="32"/>
          <w:szCs w:val="36"/>
        </w:rPr>
        <w:t>两</w:t>
      </w:r>
      <w:r>
        <w:rPr>
          <w:rFonts w:ascii="仿宋" w:hAnsi="仿宋" w:eastAsia="仿宋"/>
          <w:color w:val="000000"/>
          <w:sz w:val="32"/>
          <w:szCs w:val="36"/>
        </w:rPr>
        <w:t>年执行，剥夺政治权利终身</w:t>
      </w:r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r>
        <w:rPr>
          <w:rFonts w:ascii="仿宋" w:hAnsi="仿宋" w:eastAsia="仿宋"/>
          <w:color w:val="000000"/>
          <w:sz w:val="32"/>
          <w:szCs w:val="36"/>
        </w:rPr>
        <w:t>被告人钟宜波</w:t>
      </w:r>
      <w:r>
        <w:rPr>
          <w:rFonts w:hint="eastAsia" w:ascii="仿宋" w:hAnsi="仿宋" w:eastAsia="仿宋"/>
          <w:color w:val="000000"/>
          <w:sz w:val="32"/>
          <w:szCs w:val="36"/>
        </w:rPr>
        <w:t>赔偿附带民事诉讼原告人人民币32330.5元</w:t>
      </w:r>
      <w:r>
        <w:rPr>
          <w:rFonts w:ascii="仿宋" w:hAnsi="仿宋" w:eastAsia="仿宋"/>
          <w:color w:val="000000"/>
          <w:sz w:val="32"/>
          <w:szCs w:val="36"/>
        </w:rPr>
        <w:t>。宣判后，被告</w:t>
      </w:r>
      <w:r>
        <w:rPr>
          <w:rFonts w:hint="eastAsia" w:ascii="仿宋" w:hAnsi="仿宋" w:eastAsia="仿宋"/>
          <w:color w:val="000000"/>
          <w:sz w:val="32"/>
          <w:szCs w:val="36"/>
        </w:rPr>
        <w:t>钟宜波</w:t>
      </w:r>
      <w:r>
        <w:rPr>
          <w:rFonts w:ascii="仿宋" w:hAnsi="仿宋" w:eastAsia="仿宋"/>
          <w:color w:val="000000"/>
          <w:sz w:val="32"/>
          <w:szCs w:val="36"/>
        </w:rPr>
        <w:t>人不服，提</w:t>
      </w:r>
      <w:r>
        <w:rPr>
          <w:rFonts w:hint="eastAsia" w:ascii="仿宋" w:hAnsi="仿宋" w:eastAsia="仿宋"/>
          <w:color w:val="000000"/>
          <w:sz w:val="32"/>
          <w:szCs w:val="36"/>
        </w:rPr>
        <w:t>出</w:t>
      </w:r>
      <w:r>
        <w:rPr>
          <w:rFonts w:ascii="仿宋" w:hAnsi="仿宋" w:eastAsia="仿宋"/>
          <w:color w:val="000000"/>
          <w:sz w:val="32"/>
          <w:szCs w:val="36"/>
        </w:rPr>
        <w:t>上诉</w:t>
      </w:r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r>
        <w:rPr>
          <w:rFonts w:ascii="仿宋" w:hAnsi="仿宋" w:eastAsia="仿宋"/>
          <w:color w:val="000000"/>
          <w:sz w:val="32"/>
          <w:szCs w:val="36"/>
        </w:rPr>
        <w:t>湖北省高级人民法院于2021年2月22日作出(2021)鄂刑终</w:t>
      </w:r>
      <w:r>
        <w:rPr>
          <w:rFonts w:ascii="仿宋" w:hAnsi="仿宋" w:eastAsia="仿宋"/>
          <w:sz w:val="32"/>
          <w:szCs w:val="32"/>
        </w:rPr>
        <w:t>109号</w:t>
      </w:r>
      <w:r>
        <w:rPr>
          <w:rFonts w:hint="eastAsia" w:ascii="仿宋" w:hAnsi="仿宋" w:eastAsia="仿宋"/>
          <w:sz w:val="32"/>
          <w:szCs w:val="32"/>
        </w:rPr>
        <w:t>之一</w:t>
      </w:r>
      <w:r>
        <w:rPr>
          <w:rFonts w:ascii="仿宋" w:hAnsi="仿宋" w:eastAsia="仿宋"/>
          <w:sz w:val="32"/>
          <w:szCs w:val="32"/>
        </w:rPr>
        <w:t>刑事裁定：</w:t>
      </w:r>
      <w:r>
        <w:rPr>
          <w:rFonts w:hint="eastAsia" w:ascii="仿宋" w:hAnsi="仿宋" w:eastAsia="仿宋"/>
          <w:sz w:val="32"/>
          <w:szCs w:val="32"/>
        </w:rPr>
        <w:t>准许上诉人钟宜波撤回上诉</w:t>
      </w:r>
      <w:r>
        <w:rPr>
          <w:rFonts w:ascii="仿宋" w:hAnsi="仿宋" w:eastAsia="仿宋"/>
          <w:sz w:val="32"/>
          <w:szCs w:val="32"/>
        </w:rPr>
        <w:t>。湖北省高级人民法院于2021年2月22日作出(2021)鄂刑终109号刑事裁定：</w:t>
      </w:r>
      <w:r>
        <w:rPr>
          <w:rFonts w:hint="eastAsia" w:ascii="仿宋" w:hAnsi="仿宋" w:eastAsia="仿宋"/>
          <w:sz w:val="32"/>
          <w:szCs w:val="32"/>
        </w:rPr>
        <w:t>核准湖北省宜昌市中级人民法院</w:t>
      </w:r>
      <w:r>
        <w:rPr>
          <w:rFonts w:ascii="仿宋" w:hAnsi="仿宋" w:eastAsia="仿宋"/>
          <w:sz w:val="32"/>
          <w:szCs w:val="32"/>
        </w:rPr>
        <w:t>（2020）鄂05刑初40号</w:t>
      </w:r>
      <w:r>
        <w:rPr>
          <w:rFonts w:hint="eastAsia" w:ascii="仿宋" w:hAnsi="仿宋" w:eastAsia="仿宋"/>
          <w:sz w:val="32"/>
          <w:szCs w:val="32"/>
        </w:rPr>
        <w:t>以故意杀人罪判处</w:t>
      </w:r>
      <w:r>
        <w:rPr>
          <w:rFonts w:ascii="仿宋" w:hAnsi="仿宋" w:eastAsia="仿宋"/>
          <w:sz w:val="32"/>
          <w:szCs w:val="32"/>
        </w:rPr>
        <w:t>被告人钟宜波</w:t>
      </w:r>
      <w:r>
        <w:rPr>
          <w:rFonts w:hint="eastAsia" w:ascii="仿宋" w:hAnsi="仿宋" w:eastAsia="仿宋"/>
          <w:sz w:val="32"/>
          <w:szCs w:val="32"/>
        </w:rPr>
        <w:t>死刑，缓期二年执行，剥夺政治权利终身的刑事部分判决。</w:t>
      </w:r>
      <w:r>
        <w:rPr>
          <w:rFonts w:ascii="仿宋" w:hAnsi="仿宋" w:eastAsia="仿宋"/>
          <w:sz w:val="32"/>
          <w:szCs w:val="32"/>
        </w:rPr>
        <w:t>裁定</w:t>
      </w:r>
      <w:bookmarkEnd w:id="10"/>
      <w:r>
        <w:rPr>
          <w:rFonts w:hint="eastAsia" w:ascii="仿宋" w:hAnsi="仿宋" w:eastAsia="仿宋"/>
          <w:sz w:val="32"/>
          <w:szCs w:val="32"/>
        </w:rPr>
        <w:t>发生法律效力后，于</w:t>
      </w:r>
      <w:bookmarkStart w:id="11" w:name="ZF_RJRQ_2"/>
      <w:r>
        <w:rPr>
          <w:rFonts w:ascii="仿宋" w:hAnsi="仿宋" w:eastAsia="仿宋"/>
          <w:sz w:val="32"/>
          <w:szCs w:val="32"/>
        </w:rPr>
        <w:t>2021年3月30日</w:t>
      </w:r>
      <w:bookmarkEnd w:id="11"/>
      <w:r>
        <w:rPr>
          <w:rFonts w:hint="eastAsia" w:ascii="仿宋" w:hAnsi="仿宋" w:eastAsia="仿宋"/>
          <w:sz w:val="32"/>
          <w:szCs w:val="32"/>
        </w:rPr>
        <w:t>交付执行。</w:t>
      </w:r>
      <w:bookmarkStart w:id="12" w:name="ZF_XFBD_"/>
      <w:bookmarkEnd w:id="12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13" w:name="JXJYJL_"/>
      <w:r>
        <w:rPr>
          <w:rFonts w:hint="eastAsia" w:ascii="仿宋" w:hAnsi="仿宋" w:eastAsia="仿宋"/>
          <w:sz w:val="32"/>
          <w:szCs w:val="32"/>
        </w:rPr>
        <w:t>该犯自</w:t>
      </w:r>
      <w:r>
        <w:rPr>
          <w:rFonts w:ascii="仿宋" w:hAnsi="仿宋" w:eastAsia="仿宋"/>
          <w:sz w:val="32"/>
          <w:szCs w:val="32"/>
        </w:rPr>
        <w:t>2021年3月30日入监服刑以来，已过二年</w:t>
      </w:r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r>
        <w:rPr>
          <w:rFonts w:hint="eastAsia" w:ascii="仿宋" w:hAnsi="仿宋" w:eastAsia="仿宋"/>
          <w:sz w:val="32"/>
          <w:szCs w:val="32"/>
        </w:rPr>
        <w:t>在此期间，</w:t>
      </w:r>
      <w:r>
        <w:rPr>
          <w:rFonts w:ascii="仿宋" w:hAnsi="仿宋" w:eastAsia="仿宋"/>
          <w:sz w:val="32"/>
          <w:szCs w:val="32"/>
        </w:rPr>
        <w:t>确有悔改表现，累计获得</w:t>
      </w:r>
      <w:r>
        <w:rPr>
          <w:rFonts w:hint="eastAsia" w:ascii="仿宋" w:hAnsi="仿宋" w:eastAsia="仿宋"/>
          <w:sz w:val="32"/>
          <w:szCs w:val="32"/>
        </w:rPr>
        <w:t>1个物质奖励，2</w:t>
      </w:r>
      <w:r>
        <w:rPr>
          <w:rFonts w:ascii="仿宋" w:hAnsi="仿宋" w:eastAsia="仿宋"/>
          <w:sz w:val="32"/>
          <w:szCs w:val="32"/>
        </w:rPr>
        <w:t>个表扬。具体事实如下：</w:t>
      </w:r>
      <w:bookmarkEnd w:id="13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犯在刑罚执行期间，无故意犯罪。能够做到认罪悔罪，认真遵守法律法规及监规，接受教育改造；积极参加思想、文化、职业技术教育；积极参加劳动，完成生产任务。因此获得2022年01月物质奖励、2022年6月表扬、2022年12月表扬，共计1个物质奖励，2</w:t>
      </w:r>
      <w:r>
        <w:rPr>
          <w:rFonts w:ascii="仿宋" w:hAnsi="仿宋" w:eastAsia="仿宋"/>
          <w:sz w:val="32"/>
          <w:szCs w:val="32"/>
        </w:rPr>
        <w:t>个</w:t>
      </w:r>
      <w:r>
        <w:rPr>
          <w:rFonts w:hint="eastAsia" w:ascii="仿宋" w:hAnsi="仿宋" w:eastAsia="仿宋"/>
          <w:sz w:val="32"/>
          <w:szCs w:val="32"/>
        </w:rPr>
        <w:t>表扬。</w:t>
      </w:r>
    </w:p>
    <w:p>
      <w:pPr>
        <w:tabs>
          <w:tab w:val="left" w:pos="3780"/>
        </w:tabs>
        <w:spacing w:before="0" w:after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80.6pt;margin-top:650.5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认定上述事实的依据有：对该犯减刑的建议书、罪犯悔改和立功表现具体事实的认证表、罪犯奖励审批表、罪犯评审鉴定表、监区对该犯呈报减刑的讨论记录、监狱评审委员会和监狱长办公会对该犯减刑的意见。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综上，</w:t>
      </w:r>
      <w:r>
        <w:rPr>
          <w:rFonts w:hint="eastAsia" w:ascii="仿宋" w:hAnsi="仿宋" w:eastAsia="仿宋"/>
          <w:sz w:val="32"/>
          <w:szCs w:val="32"/>
        </w:rPr>
        <w:t>该犯在死刑缓期二年执行期间，能够认罪悔罪，认真遵守法律法规及监规，接受教育改造；积极参加思想、文化、职业技术教育；积极参加劳动，完成生产任务，没有故意犯罪。符合减刑条件。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为此，</w:t>
      </w:r>
      <w:r>
        <w:rPr>
          <w:rFonts w:ascii="仿宋" w:hAnsi="仿宋" w:eastAsia="仿宋"/>
          <w:sz w:val="32"/>
          <w:szCs w:val="32"/>
        </w:rPr>
        <w:t>根据《中华人民共和国监狱法》第三十一条、《中华人民共和国刑法》第五十条、</w:t>
      </w:r>
      <w:r>
        <w:rPr>
          <w:rFonts w:hint="eastAsia" w:ascii="仿宋" w:hAnsi="仿宋" w:eastAsia="仿宋"/>
          <w:sz w:val="32"/>
          <w:szCs w:val="32"/>
        </w:rPr>
        <w:t>第五十一条、</w:t>
      </w:r>
      <w:r>
        <w:rPr>
          <w:rFonts w:ascii="仿宋" w:hAnsi="仿宋" w:eastAsia="仿宋"/>
          <w:sz w:val="32"/>
          <w:szCs w:val="32"/>
        </w:rPr>
        <w:t>《中华人民共和国刑事诉讼法》第二百</w:t>
      </w:r>
      <w:r>
        <w:rPr>
          <w:rFonts w:hint="eastAsia" w:ascii="仿宋" w:hAnsi="仿宋" w:eastAsia="仿宋"/>
          <w:sz w:val="32"/>
          <w:szCs w:val="32"/>
        </w:rPr>
        <w:t>六十一</w:t>
      </w:r>
      <w:r>
        <w:rPr>
          <w:rFonts w:ascii="仿宋" w:hAnsi="仿宋" w:eastAsia="仿宋"/>
          <w:sz w:val="32"/>
          <w:szCs w:val="32"/>
        </w:rPr>
        <w:t>条第二款之规定</w:t>
      </w:r>
      <w:r>
        <w:rPr>
          <w:rFonts w:hint="eastAsia" w:ascii="仿宋" w:hAnsi="仿宋" w:eastAsia="仿宋"/>
          <w:sz w:val="32"/>
          <w:szCs w:val="32"/>
        </w:rPr>
        <w:t>，建议对罪犯</w:t>
      </w:r>
      <w:r>
        <w:rPr>
          <w:rFonts w:hint="eastAsia" w:ascii="仿宋" w:hAnsi="仿宋" w:eastAsia="仿宋"/>
          <w:color w:val="000000"/>
          <w:sz w:val="32"/>
          <w:szCs w:val="36"/>
        </w:rPr>
        <w:t>钟宜波</w:t>
      </w:r>
      <w:r>
        <w:rPr>
          <w:rFonts w:hint="eastAsia" w:ascii="仿宋" w:hAnsi="仿宋" w:eastAsia="仿宋"/>
          <w:sz w:val="32"/>
          <w:szCs w:val="32"/>
        </w:rPr>
        <w:t>予以提请减为无期徒刑，剥夺政治权利终身。特报请裁定。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此   致 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4" w:name="法院"/>
      <w:bookmarkEnd w:id="14"/>
      <w:bookmarkStart w:id="15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15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60" w:lineRule="exac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60" w:lineRule="exac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JYJGZ"/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7" w:name="JYGZ"/>
      <w:bookmarkEnd w:id="17"/>
    </w:p>
    <w:p>
      <w:pPr>
        <w:spacing w:before="0" w:after="0" w:line="56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_GB2312" w:eastAsia="仿宋_GB2312"/>
          <w:sz w:val="32"/>
          <w:szCs w:val="32"/>
        </w:rPr>
        <w:t>2023年12月8日</w:t>
      </w:r>
    </w:p>
    <w:p/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5A47C818-D46E-469E-98A3-B4B30098983B}" w:val="FZEQHbtJwk/yO=VhRs7cY3BSjPDnfeN9W+r0qXlGd8CTIu6145LzMvxog2mAKpiUa"/>
    <w:docVar w:name="DocumentID" w:val="{23A75A74-94D1-4E42-836A-0B882FD0CF0B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C50D0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06E2"/>
    <w:rsid w:val="00182CA9"/>
    <w:rsid w:val="001873F4"/>
    <w:rsid w:val="00187D88"/>
    <w:rsid w:val="001A3EDD"/>
    <w:rsid w:val="001B776E"/>
    <w:rsid w:val="001C4431"/>
    <w:rsid w:val="001E03A8"/>
    <w:rsid w:val="001E23F8"/>
    <w:rsid w:val="001E7E41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B562B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4B1E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3328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87234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3DA2"/>
    <w:rsid w:val="00516343"/>
    <w:rsid w:val="00516B81"/>
    <w:rsid w:val="00520063"/>
    <w:rsid w:val="00520986"/>
    <w:rsid w:val="00527617"/>
    <w:rsid w:val="00533EFE"/>
    <w:rsid w:val="00537469"/>
    <w:rsid w:val="0054287E"/>
    <w:rsid w:val="0054451B"/>
    <w:rsid w:val="00553F39"/>
    <w:rsid w:val="00565E52"/>
    <w:rsid w:val="0056639B"/>
    <w:rsid w:val="005707B3"/>
    <w:rsid w:val="00570E48"/>
    <w:rsid w:val="005726EF"/>
    <w:rsid w:val="0059147D"/>
    <w:rsid w:val="00595B64"/>
    <w:rsid w:val="005A6BB4"/>
    <w:rsid w:val="005C4DEA"/>
    <w:rsid w:val="005C55D6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069E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07C1"/>
    <w:rsid w:val="00744AE3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E658D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0E45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951D0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58E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43B9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B7FAB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1CF0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0CAE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4E42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3772"/>
    <w:rsid w:val="00FF49CC"/>
    <w:rsid w:val="DBEE44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159</Words>
  <Characters>910</Characters>
  <Lines>7</Lines>
  <Paragraphs>2</Paragraphs>
  <TotalTime>0</TotalTime>
  <ScaleCrop>false</ScaleCrop>
  <LinksUpToDate>false</LinksUpToDate>
  <CharactersWithSpaces>1067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2024-01-05T11:39:51Z</cp:lastPrinted>
  <dcterms:modified xsi:type="dcterms:W3CDTF">2024-01-05T12:21:48Z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